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  <w:lang w:val="en-US"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1"/>
          <w:sz w:val="44"/>
          <w:szCs w:val="44"/>
        </w:rPr>
        <w:t>水产种业质量提升行动方案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华文仿宋" w:hAnsi="华文仿宋" w:eastAsia="华文仿宋" w:cs="华文仿宋"/>
          <w:b/>
          <w:bCs/>
          <w:color w:val="auto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default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通过开展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2021年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厦门市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第一次全国水产养殖种质资源普查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工作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，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结合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地方特色品种、水产种质资源保护区保护种等重点水产种质资源调查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完成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厦门市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水产养殖种质资源基本情况普查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</w:rPr>
        <w:t>发布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  <w:t>厦门市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</w:rPr>
        <w:t>水产养殖种质资源状况报告和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  <w:t>厦门市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</w:rPr>
        <w:t>水产养殖种质资源种类名录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  <w:t>组建创新育种团队，深入实施现代种业提升工程，开展新一轮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val="en-US" w:eastAsia="zh-CN"/>
        </w:rPr>
        <w:t>的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水产种业创新与产业化开发工程项目建设。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全面普查。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以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各区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为单位，按照《普查提纲》《水产养殖种质资源普查登记表》要求，对当地水产养殖场（户）（含水产原良种场、遗传育种中心、苗种场和普通养殖场等）的水产养殖种质资源种类、群体数量、区域分布和保护利用等情况进行普查并采集影像资料，按照技术专家组要求填报普查信息、汇总普查信息、采集制作遗传材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重点核查。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以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各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区为单位，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核实和抽查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eastAsia="zh-CN"/>
        </w:rPr>
        <w:t>各区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普查情况，按照技术专家组要求汇总填报辖区内的普查信息。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专项调查。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</w:rPr>
        <w:t>遵循应收尽收、应保尽保原则，对海水、淡水重点水域、主要品种开展专项调查。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default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kern w:val="21"/>
          <w:sz w:val="32"/>
          <w:szCs w:val="32"/>
          <w:lang w:eastAsia="zh-CN"/>
        </w:rPr>
        <w:t>（四）</w:t>
      </w:r>
      <w:r>
        <w:rPr>
          <w:rFonts w:hint="eastAsia" w:ascii="楷体_GB2312" w:eastAsia="楷体_GB2312" w:cs="Times New Roman"/>
          <w:b/>
          <w:bCs/>
          <w:color w:val="auto"/>
          <w:kern w:val="21"/>
          <w:sz w:val="32"/>
          <w:szCs w:val="32"/>
          <w:lang w:val="en-US" w:eastAsia="zh-CN"/>
        </w:rPr>
        <w:t>实施水产种业创新攻关行动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根据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厦门市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种业创新和产业化工程实施方案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的</w:t>
      </w:r>
      <w:r>
        <w:rPr>
          <w:rFonts w:hint="eastAsia" w:ascii="仿宋_GB2312" w:hAnsi="华文仿宋" w:eastAsia="仿宋_GB2312" w:cs="华文仿宋"/>
          <w:color w:val="auto"/>
          <w:kern w:val="21"/>
          <w:sz w:val="32"/>
          <w:szCs w:val="32"/>
          <w:lang w:val="en-US" w:eastAsia="zh-CN"/>
        </w:rPr>
        <w:t>要求，开展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  <w:t>新一轮水产种业创新与产业化工程项目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val="en-US" w:eastAsia="zh-CN"/>
        </w:rPr>
        <w:t>,</w:t>
      </w:r>
      <w:r>
        <w:rPr>
          <w:rFonts w:hint="eastAsia" w:ascii="仿宋_GB2312" w:hAnsi="华文仿宋" w:cs="华文仿宋"/>
          <w:color w:val="auto"/>
          <w:kern w:val="21"/>
          <w:sz w:val="32"/>
          <w:szCs w:val="32"/>
          <w:lang w:val="en-US" w:eastAsia="zh-CN"/>
        </w:rPr>
        <w:t>推动厦门现代水产种业园区规划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lang w:eastAsia="zh-CN"/>
        </w:rPr>
        <w:t>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加强组织领导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/>
          <w:color w:val="auto"/>
          <w:kern w:val="21"/>
          <w:sz w:val="32"/>
          <w:szCs w:val="32"/>
        </w:rPr>
      </w:pPr>
      <w:r>
        <w:rPr>
          <w:rFonts w:hint="eastAsia" w:ascii="仿宋_GB2312" w:eastAsia="仿宋_GB2312"/>
          <w:color w:val="auto"/>
          <w:kern w:val="21"/>
          <w:sz w:val="32"/>
          <w:szCs w:val="32"/>
        </w:rPr>
        <w:t>根据农业农村部水产种质资源普查工作领导小组统一部署，成立</w:t>
      </w:r>
      <w:r>
        <w:rPr>
          <w:rFonts w:hint="eastAsia" w:ascii="仿宋_GB2312"/>
          <w:color w:val="auto"/>
          <w:kern w:val="21"/>
          <w:sz w:val="32"/>
          <w:szCs w:val="32"/>
          <w:lang w:val="en-US" w:eastAsia="zh-CN"/>
        </w:rPr>
        <w:t>厦门市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水产种质资源普查领导小组及办公室、普查工作办公室、技术专家组，负责</w:t>
      </w:r>
      <w:r>
        <w:rPr>
          <w:rFonts w:hint="eastAsia" w:ascii="仿宋_GB2312"/>
          <w:color w:val="auto"/>
          <w:kern w:val="21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水产种质资源普查工作的组织、实施和技术指导。</w:t>
      </w:r>
      <w:r>
        <w:rPr>
          <w:rFonts w:hint="eastAsia" w:ascii="仿宋_GB2312"/>
          <w:color w:val="auto"/>
          <w:kern w:val="21"/>
          <w:sz w:val="32"/>
          <w:szCs w:val="32"/>
          <w:lang w:eastAsia="zh-CN"/>
        </w:rPr>
        <w:t>各区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渔业行政主管部门加强组织领导，制定相应普查工作方案，报</w:t>
      </w:r>
      <w:r>
        <w:rPr>
          <w:rFonts w:hint="eastAsia" w:ascii="仿宋_GB2312"/>
          <w:color w:val="auto"/>
          <w:kern w:val="21"/>
          <w:sz w:val="32"/>
          <w:szCs w:val="32"/>
          <w:lang w:val="en-US" w:eastAsia="zh-CN"/>
        </w:rPr>
        <w:t>厦门市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水产养殖种质资源普查工作办公室备案。各相关单位要明确工作任务，落实责任分工，确保普查工作高质量完成。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加强协调配合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/>
          <w:color w:val="auto"/>
          <w:kern w:val="21"/>
          <w:sz w:val="32"/>
          <w:szCs w:val="32"/>
        </w:rPr>
      </w:pPr>
      <w:r>
        <w:rPr>
          <w:rFonts w:hint="eastAsia" w:ascii="仿宋_GB2312"/>
          <w:color w:val="auto"/>
          <w:kern w:val="21"/>
          <w:sz w:val="32"/>
          <w:szCs w:val="32"/>
          <w:lang w:val="en-US" w:eastAsia="zh-CN"/>
        </w:rPr>
        <w:t>厦门市海洋与渔业研究所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负责本次普查工作的推进落实及日常工作安排，</w:t>
      </w:r>
      <w:r>
        <w:rPr>
          <w:rFonts w:hint="eastAsia" w:ascii="仿宋_GB2312"/>
          <w:color w:val="auto"/>
          <w:kern w:val="21"/>
          <w:sz w:val="32"/>
          <w:szCs w:val="32"/>
          <w:lang w:val="en-US" w:eastAsia="zh-CN"/>
        </w:rPr>
        <w:t>各区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渔业行政主管部门负责本行政区域水产养殖种质资源普查的组织、核查、汇总等工作。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加强经费支持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水产种质资源普查是基础性、专项性工作，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eastAsia="zh-CN"/>
        </w:rPr>
        <w:t>各区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要积极争取财政部门支持，落实地方同级财政资金，确保普查工作能够保质保量如期完成。要按照普查经费监管责任目标绩效管理要求，确保经费规范、科学使用。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加强督导培训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 w:cs="Times New Roman"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建立水产养殖种质资源普查工作进度通报制度，加强技术培训，技术专家组将选派技术专家深入一线开展技术培训、现场指导和咨询服务等工作，确保普查方法统一规范，调查数据全面真实可靠。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动员部署（7-8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）。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印发普查实施方案、普查提纲及相应表格，开展技术培训指导，全面启动普查。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default" w:ascii="仿宋_GB2312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实施阶段（7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月—11月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。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以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val="en-US" w:eastAsia="zh-CN"/>
        </w:rPr>
        <w:t>各区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为单位开展基本情况普查，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eastAsia="zh-CN"/>
        </w:rPr>
        <w:t>各区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对辖区内普查情况进行督促、核查和汇总；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val="en-US" w:eastAsia="zh-CN"/>
        </w:rPr>
        <w:t>厦门市海洋与渔业研究所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  <w:lang w:val="en-US" w:eastAsia="zh-CN"/>
        </w:rPr>
        <w:t>组织协调全面普查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  <w:lang w:val="en-US" w:eastAsia="zh-CN"/>
        </w:rPr>
        <w:t>开展培训工作。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default" w:ascii="仿宋_GB2312" w:eastAsia="仿宋_GB2312" w:cs="Times New Roman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总结阶段（11-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12月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1"/>
          <w:sz w:val="32"/>
          <w:szCs w:val="32"/>
        </w:rPr>
        <w:t>。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  <w:lang w:val="en-US" w:eastAsia="zh-CN"/>
        </w:rPr>
        <w:t>提交全年工作总结，内容包括实施总体情况，取得成效、存在的问题和改进措施建议等。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12月15日前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  <w:lang w:eastAsia="zh-CN"/>
        </w:rPr>
        <w:t>，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eastAsia="zh-CN"/>
        </w:rPr>
        <w:t>各区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  <w:lang w:val="en-US" w:eastAsia="zh-CN"/>
        </w:rPr>
        <w:t>渔业行政主管部门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将本辖区普查汇总表（包括纸质版和电子版）报</w:t>
      </w:r>
      <w:r>
        <w:rPr>
          <w:rFonts w:hint="eastAsia" w:ascii="仿宋_GB2312" w:cs="Times New Roman"/>
          <w:color w:val="auto"/>
          <w:kern w:val="21"/>
          <w:sz w:val="32"/>
          <w:szCs w:val="32"/>
          <w:lang w:val="en-US" w:eastAsia="zh-CN"/>
        </w:rPr>
        <w:t>厦门市海洋与渔业研究所</w:t>
      </w:r>
      <w:r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  <w:t>汇总后上报全国水产技术推广总站。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eastAsia" w:ascii="仿宋_GB2312" w:eastAsia="仿宋_GB2312" w:cs="Times New Roman"/>
          <w:color w:val="auto"/>
          <w:kern w:val="2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outlineLvl w:val="9"/>
        <w:rPr>
          <w:rFonts w:hint="eastAsia" w:ascii="仿宋_GB2312"/>
          <w:color w:val="auto"/>
          <w:kern w:val="21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kern w:val="21"/>
          <w:sz w:val="32"/>
          <w:szCs w:val="32"/>
          <w:lang w:val="en-US" w:eastAsia="zh-CN"/>
        </w:rPr>
        <w:t>厦门市海洋与渔业研究所 杨丁言 0592-5908811）</w:t>
      </w:r>
    </w:p>
    <w:p/>
    <w:sectPr>
      <w:footerReference r:id="rId3" w:type="default"/>
      <w:pgSz w:w="11906" w:h="16838"/>
      <w:pgMar w:top="2098" w:right="1531" w:bottom="1701" w:left="1531" w:header="851" w:footer="992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53"/>
        <w:tab w:val="clear" w:pos="4153"/>
      </w:tabs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2D6D"/>
    <w:rsid w:val="042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2021-08-09T02:32:00Z</dcterms:created>
  <dc:creator>点心</dc:creator>
  <cp:lastModifiedBy>点心</cp:lastModifiedBy>
  <dcterms:modified xsi:type="dcterms:W3CDTF">2021-08-09T02:34:15Z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