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Times New Roman" w:hAnsi="黑体" w:eastAsia="黑体" w:cs="Times New Roman"/>
          <w:b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b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ascii="Times New Roman" w:hAnsi="Times New Roman" w:eastAsia="黑体" w:cs="Times New Roman"/>
          <w:b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ascii="Times New Roman" w:hAnsi="黑体" w:eastAsia="黑体" w:cs="Times New Roman"/>
          <w:b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年厦门市海洋与渔业发展专项</w:t>
      </w:r>
    </w:p>
    <w:p>
      <w:pPr>
        <w:widowControl/>
        <w:jc w:val="center"/>
        <w:outlineLvl w:val="0"/>
        <w:rPr>
          <w:rFonts w:ascii="Times New Roman" w:hAnsi="Times New Roman" w:eastAsia="黑体" w:cs="Times New Roman"/>
          <w:b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b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资金拟立项项目名单的公示</w:t>
      </w:r>
    </w:p>
    <w:p>
      <w:pPr>
        <w:widowControl/>
        <w:spacing w:afterAutospacing="1" w:line="446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为推进厦门海洋强市建设，根据《中共厦门市委 厦门市人民政府关于加快海洋经济发展的实施意见》（厦委发〔2012〕6号）和《厦门市海洋与渔业发展专项资金管理办法》（厦海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号）要求，经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厦门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市海洋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局组织初审、专家评审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实地考察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、项目会审会研究、局党组会研究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等程序，现将20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厦门市海洋与渔业发展专项资金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拟立项项目及其实施单位予以公示，接受社会监督。公示期5个工作日（20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日-20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日），公示期间，如对拟立项项目有异议，请与市海洋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局联系。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监督电话：市海洋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局科经处0592-5396360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纪检组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0592-53963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38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厦门市海洋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5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27"/>
          <w:szCs w:val="27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5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27"/>
          <w:szCs w:val="27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5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27"/>
          <w:szCs w:val="27"/>
        </w:rPr>
      </w:pPr>
    </w:p>
    <w:p>
      <w:pPr>
        <w:rPr>
          <w:rFonts w:ascii="Times New Roman" w:hAnsi="Times New Roman" w:eastAsia="仿宋_GB2312" w:cs="Times New Roman"/>
          <w:color w:val="000000"/>
          <w:kern w:val="0"/>
          <w:sz w:val="27"/>
          <w:szCs w:val="27"/>
        </w:rPr>
      </w:pPr>
    </w:p>
    <w:p>
      <w:pPr>
        <w:rPr>
          <w:rFonts w:ascii="Times New Roman" w:hAnsi="Times New Roman" w:eastAsia="仿宋_GB2312" w:cs="Times New Roman"/>
          <w:color w:val="000000"/>
          <w:kern w:val="0"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 w:cs="黑体"/>
          <w:b/>
          <w:bCs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22年</w:t>
      </w:r>
      <w:r>
        <w:rPr>
          <w:rFonts w:hint="eastAsia" w:ascii="黑体" w:hAnsi="黑体" w:eastAsia="黑体" w:cs="黑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厦门市海洋与渔业发展专项资金拟立项项目名单</w:t>
      </w:r>
    </w:p>
    <w:tbl>
      <w:tblPr>
        <w:tblStyle w:val="5"/>
        <w:tblpPr w:leftFromText="180" w:rightFromText="180" w:vertAnchor="text" w:horzAnchor="page" w:tblpX="1587" w:tblpY="374"/>
        <w:tblOverlap w:val="never"/>
        <w:tblW w:w="13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8186"/>
        <w:gridCol w:w="4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8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项目名称</w:t>
            </w:r>
          </w:p>
        </w:tc>
        <w:tc>
          <w:tcPr>
            <w:tcW w:w="4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项目单位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tblHeader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1</w:t>
            </w:r>
          </w:p>
        </w:tc>
        <w:tc>
          <w:tcPr>
            <w:tcW w:w="8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海洋微生物规模化发酵制备脂肪酶及其产业化应用与示范</w:t>
            </w:r>
          </w:p>
        </w:tc>
        <w:tc>
          <w:tcPr>
            <w:tcW w:w="4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厦门金达威集团股份有限公司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tblHeader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2</w:t>
            </w:r>
          </w:p>
        </w:tc>
        <w:tc>
          <w:tcPr>
            <w:tcW w:w="8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海洋源安肌肽降尿酸生物制品产业化开发与应用示范</w:t>
            </w:r>
          </w:p>
        </w:tc>
        <w:tc>
          <w:tcPr>
            <w:tcW w:w="4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厦门中美康泰生物技术有限公司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  <w:tblHeader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3</w:t>
            </w:r>
          </w:p>
        </w:tc>
        <w:tc>
          <w:tcPr>
            <w:tcW w:w="8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海洋软骨鱼纳米抗体开发及其临床应用</w:t>
            </w:r>
          </w:p>
        </w:tc>
        <w:tc>
          <w:tcPr>
            <w:tcW w:w="4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德运康明（厦门）生物科技有限公司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4</w:t>
            </w:r>
          </w:p>
        </w:tc>
        <w:tc>
          <w:tcPr>
            <w:tcW w:w="8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海洋设施防护技术开发及示范应用</w:t>
            </w:r>
          </w:p>
        </w:tc>
        <w:tc>
          <w:tcPr>
            <w:tcW w:w="4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厦门双瑞船舶涂料有限公司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5</w:t>
            </w:r>
          </w:p>
        </w:tc>
        <w:tc>
          <w:tcPr>
            <w:tcW w:w="8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I型胶原蛋白肽-寡糖复合物系列化妆品的研制与产业化</w:t>
            </w:r>
          </w:p>
        </w:tc>
        <w:tc>
          <w:tcPr>
            <w:tcW w:w="4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厦门娜其尔生物科技股份有限公司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tblHeader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8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静音分系统关键技术研发及在高附加值船舶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产业化示范应用</w:t>
            </w:r>
          </w:p>
        </w:tc>
        <w:tc>
          <w:tcPr>
            <w:tcW w:w="4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厦门振为科技有限公司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" w:hRule="atLeast"/>
          <w:tblHeader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8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海洋候选药物的发现及其规模化制备研究</w:t>
            </w:r>
          </w:p>
        </w:tc>
        <w:tc>
          <w:tcPr>
            <w:tcW w:w="4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自然资源部第三海洋研究所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tblHeader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8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海洋多肽在日化用品的开发与应用</w:t>
            </w:r>
          </w:p>
        </w:tc>
        <w:tc>
          <w:tcPr>
            <w:tcW w:w="4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厦门金泰生物科技有限公司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tblHeader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8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海水提铀偕胺肟改性材料产业化</w:t>
            </w:r>
          </w:p>
        </w:tc>
        <w:tc>
          <w:tcPr>
            <w:tcW w:w="4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兴核科学研究（福建）有限责任公司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tblHeader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8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高营养强化型海藻预拌面粉的研发及产业化示范</w:t>
            </w:r>
          </w:p>
        </w:tc>
        <w:tc>
          <w:tcPr>
            <w:tcW w:w="4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中粮海嘉（厦门）面业有限公司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" w:hRule="atLeast"/>
          <w:tblHeader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8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项目名称</w:t>
            </w:r>
          </w:p>
        </w:tc>
        <w:tc>
          <w:tcPr>
            <w:tcW w:w="4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项目单位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tblHeader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8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水质监测预警系统关键技术及产业化</w:t>
            </w:r>
          </w:p>
        </w:tc>
        <w:tc>
          <w:tcPr>
            <w:tcW w:w="4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厦门海控自动化系统工程有限公司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tblHeader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8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基于海洋空间信息与水文数据的海洋数字经济产业化研究与应用</w:t>
            </w:r>
          </w:p>
        </w:tc>
        <w:tc>
          <w:tcPr>
            <w:tcW w:w="4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罗普特科技集团股份有限公司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tblHeader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13</w:t>
            </w:r>
            <w:bookmarkStart w:id="0" w:name="_GoBack"/>
            <w:bookmarkEnd w:id="0"/>
          </w:p>
        </w:tc>
        <w:tc>
          <w:tcPr>
            <w:tcW w:w="8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海域安防多平台立体信息终端的研发及产业化</w:t>
            </w:r>
          </w:p>
        </w:tc>
        <w:tc>
          <w:tcPr>
            <w:tcW w:w="4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厦门求同信息科技有限公司</w:t>
            </w:r>
          </w:p>
        </w:tc>
      </w:tr>
    </w:tbl>
    <w:p>
      <w:pPr>
        <w:rPr>
          <w:rFonts w:ascii="Times New Roman" w:hAnsi="Times New Roman" w:eastAsia="仿宋_GB2312" w:cs="Times New Roman"/>
          <w:color w:val="000000"/>
          <w:kern w:val="0"/>
          <w:sz w:val="27"/>
          <w:szCs w:val="27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false"/>
  <w:bordersDoNotSurroundFooter w:val="false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6C"/>
    <w:rsid w:val="005D3B6C"/>
    <w:rsid w:val="006929A0"/>
    <w:rsid w:val="00766623"/>
    <w:rsid w:val="00A4252D"/>
    <w:rsid w:val="00B940FE"/>
    <w:rsid w:val="00E9309B"/>
    <w:rsid w:val="10FC30F4"/>
    <w:rsid w:val="1A6F4B75"/>
    <w:rsid w:val="1B6339BF"/>
    <w:rsid w:val="1DE90228"/>
    <w:rsid w:val="21747F6A"/>
    <w:rsid w:val="21BC6E3B"/>
    <w:rsid w:val="2EC467A4"/>
    <w:rsid w:val="2F1F2D1E"/>
    <w:rsid w:val="331754C2"/>
    <w:rsid w:val="36815374"/>
    <w:rsid w:val="39952C1E"/>
    <w:rsid w:val="3B9F1B5F"/>
    <w:rsid w:val="3D074FE2"/>
    <w:rsid w:val="3FA5637F"/>
    <w:rsid w:val="52D34C78"/>
    <w:rsid w:val="57C7B8FD"/>
    <w:rsid w:val="57F99042"/>
    <w:rsid w:val="58CF174B"/>
    <w:rsid w:val="5DCFC622"/>
    <w:rsid w:val="5E5F3B00"/>
    <w:rsid w:val="5F33711B"/>
    <w:rsid w:val="5FDEB78C"/>
    <w:rsid w:val="6BA85294"/>
    <w:rsid w:val="6C9E5E9A"/>
    <w:rsid w:val="6DE565EF"/>
    <w:rsid w:val="6FFB86A7"/>
    <w:rsid w:val="73BE6C43"/>
    <w:rsid w:val="73CF388C"/>
    <w:rsid w:val="7BF328B3"/>
    <w:rsid w:val="7CBD7D3E"/>
    <w:rsid w:val="7D273F7C"/>
    <w:rsid w:val="7DBF2E9E"/>
    <w:rsid w:val="7E7C12E3"/>
    <w:rsid w:val="7F715880"/>
    <w:rsid w:val="AFDD4D24"/>
    <w:rsid w:val="B0E55AD8"/>
    <w:rsid w:val="DE07B4B7"/>
    <w:rsid w:val="E94F0A6B"/>
    <w:rsid w:val="F3F27D4B"/>
    <w:rsid w:val="FEDFBD6C"/>
    <w:rsid w:val="FF7FF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6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624</Words>
  <Characters>692</Characters>
  <Lines>3</Lines>
  <Paragraphs>1</Paragraphs>
  <TotalTime>1</TotalTime>
  <ScaleCrop>false</ScaleCrop>
  <LinksUpToDate>false</LinksUpToDate>
  <CharactersWithSpaces>831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2019-09-29T15:17:00Z</dcterms:created>
  <dc:creator>user03</dc:creator>
  <cp:lastModifiedBy>吴进立</cp:lastModifiedBy>
  <cp:lastPrinted>2021-10-26T19:48:00Z</cp:lastPrinted>
  <dcterms:modified xsi:type="dcterms:W3CDTF">2022-12-13T12:06:44Z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